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CF7" w:rsidRPr="000F2CF7" w:rsidRDefault="000F2CF7" w:rsidP="000F2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CF7">
        <w:rPr>
          <w:rFonts w:ascii="Times New Roman" w:hAnsi="Times New Roman" w:cs="Times New Roman"/>
          <w:sz w:val="28"/>
          <w:szCs w:val="28"/>
        </w:rPr>
        <w:t>Тема 5. Определение электрических нагрузок различными методами.</w:t>
      </w:r>
    </w:p>
    <w:p w:rsidR="00270C58" w:rsidRDefault="000F2CF7" w:rsidP="000F2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CF7">
        <w:rPr>
          <w:rFonts w:ascii="Times New Roman" w:hAnsi="Times New Roman" w:cs="Times New Roman"/>
          <w:sz w:val="28"/>
          <w:szCs w:val="28"/>
        </w:rPr>
        <w:t>Определение средних и расчетных нагрузок, вспомогательные и основные методы расчета нагрузок</w:t>
      </w:r>
    </w:p>
    <w:p w:rsidR="00EA4CCF" w:rsidRPr="00EA4CCF" w:rsidRDefault="00EA4CCF" w:rsidP="00EA4CCF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средних нагрузок.</w:t>
      </w:r>
    </w:p>
    <w:p w:rsidR="00EA4CCF" w:rsidRDefault="00EA4CCF" w:rsidP="00EA4CC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Средняя активная мощность за наиболее загруженную смену какой-либо группы силовых приемников с одинаковым режимом работы определяется путем умножения суммарной номинальной мощности группы рабочих приемников </w:t>
      </w:r>
      <w:proofErr w:type="spell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ном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приведенной для приемников ПКР к ПВ=100%, на их групповой коэффициент использования </w:t>
      </w:r>
      <w:proofErr w:type="spellStart"/>
      <w:proofErr w:type="gram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и,а</w:t>
      </w:r>
      <w:proofErr w:type="spellEnd"/>
      <w:proofErr w:type="gramEnd"/>
    </w:p>
    <w:p w:rsidR="00EA4CCF" w:rsidRDefault="00EA4CCF" w:rsidP="00EA4CC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A4CCF">
        <w:rPr>
          <w:rFonts w:ascii="Times New Roman" w:hAnsi="Times New Roman" w:cs="Times New Roman"/>
          <w:sz w:val="28"/>
          <w:szCs w:val="28"/>
        </w:rPr>
        <w:t>Р</w:t>
      </w:r>
      <w:r w:rsidRPr="00EA4CCF">
        <w:rPr>
          <w:rFonts w:ascii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EA4CCF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EA4CCF">
        <w:rPr>
          <w:rFonts w:ascii="Times New Roman" w:hAnsi="Times New Roman" w:cs="Times New Roman"/>
          <w:sz w:val="28"/>
          <w:szCs w:val="28"/>
        </w:rPr>
        <w:t>К</w:t>
      </w:r>
      <w:r w:rsidRPr="00EA4CCF">
        <w:rPr>
          <w:rFonts w:ascii="Times New Roman" w:hAnsi="Times New Roman" w:cs="Times New Roman"/>
          <w:sz w:val="28"/>
          <w:szCs w:val="28"/>
          <w:vertAlign w:val="subscript"/>
        </w:rPr>
        <w:t>и,а</w:t>
      </w:r>
      <w:proofErr w:type="spellEnd"/>
      <w:r w:rsidRPr="00EA4CCF">
        <w:rPr>
          <w:rFonts w:ascii="Times New Roman" w:hAnsi="Times New Roman" w:cs="Times New Roman"/>
          <w:sz w:val="28"/>
          <w:szCs w:val="28"/>
        </w:rPr>
        <w:sym w:font="Symbol" w:char="F0D7"/>
      </w:r>
      <w:proofErr w:type="spellStart"/>
      <w:r w:rsidRPr="00EA4CCF">
        <w:rPr>
          <w:rFonts w:ascii="Times New Roman" w:hAnsi="Times New Roman" w:cs="Times New Roman"/>
          <w:sz w:val="28"/>
          <w:szCs w:val="28"/>
        </w:rPr>
        <w:t>Р</w:t>
      </w:r>
      <w:r w:rsidRPr="00EA4CCF">
        <w:rPr>
          <w:rFonts w:ascii="Times New Roman" w:hAnsi="Times New Roman" w:cs="Times New Roman"/>
          <w:sz w:val="28"/>
          <w:szCs w:val="28"/>
          <w:vertAlign w:val="subscript"/>
        </w:rPr>
        <w:t>ном</w:t>
      </w:r>
      <w:proofErr w:type="spellEnd"/>
      <w:r w:rsidRPr="00EA4CCF">
        <w:rPr>
          <w:rFonts w:ascii="Times New Roman" w:hAnsi="Times New Roman" w:cs="Times New Roman"/>
          <w:sz w:val="28"/>
          <w:szCs w:val="28"/>
        </w:rPr>
        <w:t>.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F" w:rsidRPr="00EA4CCF" w:rsidRDefault="00EA4CCF" w:rsidP="00EA4CC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4CCF">
        <w:rPr>
          <w:rFonts w:ascii="Times New Roman" w:hAnsi="Times New Roman" w:cs="Times New Roman"/>
          <w:color w:val="000000"/>
          <w:sz w:val="28"/>
          <w:szCs w:val="28"/>
        </w:rPr>
        <w:t>Средняя реактивная мощность за наиболее загруженную смену </w:t>
      </w:r>
      <w:r w:rsidRPr="00EA4CCF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Q</w:t>
      </w:r>
      <w:r w:rsidRPr="00EA4CCF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см</w:t>
      </w:r>
      <w:r w:rsidRPr="00EA4CCF">
        <w:rPr>
          <w:rFonts w:ascii="Times New Roman" w:hAnsi="Times New Roman" w:cs="Times New Roman"/>
          <w:color w:val="000000"/>
          <w:sz w:val="28"/>
          <w:szCs w:val="28"/>
        </w:rPr>
        <w:t> для какой-либо группы силовых приемников (с отстающим током) одинакового режима работы определяется следующим образом</w:t>
      </w:r>
    </w:p>
    <w:p w:rsidR="00EA4CCF" w:rsidRPr="00EA4CCF" w:rsidRDefault="00EA4CCF" w:rsidP="00EA4CC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 </w:t>
      </w: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2C8C9F2" wp14:editId="480A710B">
            <wp:extent cx="1009650" cy="241300"/>
            <wp:effectExtent l="0" t="0" r="0" b="6350"/>
            <wp:docPr id="3" name="Рисунок 3" descr="https://libr.aues.kz/facultet/eef/kaf_epp/27/umm/epp_3.files/image0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ibr.aues.kz/facultet/eef/kaf_epp/27/umm/epp_3.files/image06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 </w:t>
      </w: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BF80A7A" wp14:editId="574D1696">
            <wp:extent cx="933450" cy="228600"/>
            <wp:effectExtent l="0" t="0" r="0" b="0"/>
            <wp:docPr id="4" name="Рисунок 4" descr="https://libr.aues.kz/facultet/eef/kaf_epp/27/umm/epp_3.files/image0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ibr.aues.kz/facultet/eef/kaf_epp/27/umm/epp_3.files/image06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Реактивные нагрузки приемников с опережающим током (СД, БК) принимаются со знаком минус.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Средняя активная мощность за наиболее загруженную смену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см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узла системы электроснабжения, включающего какое-либо количество групп приемников с разными режимами работы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79B8485" wp14:editId="58F7C129">
            <wp:extent cx="857250" cy="425450"/>
            <wp:effectExtent l="0" t="0" r="0" b="0"/>
            <wp:docPr id="7" name="Рисунок 7" descr="https://libr.aues.kz/facultet/eef/kaf_epp/27/umm/epp_3.files/image0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ibr.aues.kz/facultet/eef/kaf_epp/27/umm/epp_3.files/image06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реактивная мощность узла нагрузки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437D63B" wp14:editId="2DA3D3B9">
            <wp:extent cx="2501900" cy="400050"/>
            <wp:effectExtent l="0" t="0" r="0" b="0"/>
            <wp:docPr id="8" name="Рисунок 8" descr="https://libr.aues.kz/facultet/eef/kaf_epp/27/umm/epp_3.files/image0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libr.aues.kz/facultet/eef/kaf_epp/27/umm/epp_3.files/image06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Q</w:t>
      </w:r>
      <w:proofErr w:type="gram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см,</w:t>
      </w:r>
      <w:proofErr w:type="spell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средняя реактивная мощность за наиболее загруженную смену 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-й группы приемников с отстающим током;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</w:t>
      </w:r>
      <w:proofErr w:type="gram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</w:t>
      </w:r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групп приемников с отстающим током с разными режимами работы, входящих в данный узел;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m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</w:t>
      </w:r>
      <w:proofErr w:type="gram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</w:t>
      </w:r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групп приемников с опережающим током: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Q</w:t>
      </w:r>
      <w:proofErr w:type="spell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см.сд</w:t>
      </w:r>
      <w:proofErr w:type="spellEnd"/>
      <w:proofErr w:type="gram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,</w:t>
      </w:r>
      <w:proofErr w:type="spell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средняя реактивная мощность синхронных двигателей за наиболее загруженную смену;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Q</w:t>
      </w:r>
      <w:proofErr w:type="spell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смБК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то же, для конденсаторов.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Среднегодовая мощность, потребляемая цехом, находится из соотношений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ABE7842" wp14:editId="3BD3B5BA">
            <wp:extent cx="679450" cy="425450"/>
            <wp:effectExtent l="0" t="0" r="6350" b="0"/>
            <wp:docPr id="9" name="Рисунок 9" descr="https://libr.aues.kz/facultet/eef/kaf_epp/27/umm/epp_3.files/image0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libr.aues.kz/facultet/eef/kaf_epp/27/umm/epp_3.files/image0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   </w:t>
      </w: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8184AE1" wp14:editId="6A955929">
            <wp:extent cx="685800" cy="457200"/>
            <wp:effectExtent l="0" t="0" r="0" b="0"/>
            <wp:docPr id="10" name="Рисунок 10" descr="https://libr.aues.kz/facultet/eef/kaf_epp/27/umm/epp_3.files/image0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libr.aues.kz/facultet/eef/kaf_epp/27/umm/epp_3.files/image06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A4CCF" w:rsidRPr="00EA4CCF" w:rsidRDefault="00EA4CCF" w:rsidP="00EA4CCF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расчетных нагрузок.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наиболее распространенные в проектной практике методы расчета электрических нагрузок.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1. Определение расчетной нагрузки по установленной мощности и коэффициенту спроса.</w:t>
      </w:r>
    </w:p>
    <w:p w:rsidR="00EA4CCF" w:rsidRPr="00EA4CCF" w:rsidRDefault="00EA4CCF" w:rsidP="00EA4CC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Расчетная нагрузка для группы однородных по режиму работы приемников определяется из следующих выражений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6FD577A" wp14:editId="19250F5F">
            <wp:extent cx="946150" cy="241300"/>
            <wp:effectExtent l="0" t="0" r="6350" b="6350"/>
            <wp:docPr id="11" name="Рисунок 11" descr="https://libr.aues.kz/facultet/eef/kaf_epp/27/umm/epp_3.files/image0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libr.aues.kz/facultet/eef/kaf_epp/27/umm/epp_3.files/image06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011D6EF" wp14:editId="5230C78F">
            <wp:extent cx="838200" cy="241300"/>
            <wp:effectExtent l="0" t="0" r="0" b="6350"/>
            <wp:docPr id="12" name="Рисунок 12" descr="https://libr.aues.kz/facultet/eef/kaf_epp/27/umm/epp_3.files/image0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libr.aues.kz/facultet/eef/kaf_epp/27/umm/epp_3.files/image06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76F7326" wp14:editId="50A45FE7">
            <wp:extent cx="1447800" cy="444500"/>
            <wp:effectExtent l="0" t="0" r="0" b="0"/>
            <wp:docPr id="13" name="Рисунок 13" descr="https://libr.aues.kz/facultet/eef/kaf_epp/27/umm/epp_3.files/image0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libr.aues.kz/facultet/eef/kaf_epp/27/umm/epp_3.files/image068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proofErr w:type="spellStart"/>
      <w:proofErr w:type="gram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с.а</w:t>
      </w:r>
      <w:proofErr w:type="spellEnd"/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коэффициент спроса данной характерной группы, принимаемый по справочным материалам;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tg</w:t>
      </w:r>
      <w:proofErr w:type="spellEnd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j</w:t>
      </w:r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соответствует характерному для данной группы приемников 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cosj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определяемому по справочным материалам.</w:t>
      </w:r>
    </w:p>
    <w:p w:rsidR="00EA4CCF" w:rsidRPr="00EA4CCF" w:rsidRDefault="00EA4CCF" w:rsidP="00EA4CC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Расчетная нагрузка узла СЭС (цеха, корпуса, предприятия) определяется суммированием расчетных нагрузок отдельных групп приемников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9A18167" wp14:editId="4FB291EF">
            <wp:extent cx="2012950" cy="482600"/>
            <wp:effectExtent l="0" t="0" r="6350" b="0"/>
            <wp:docPr id="14" name="Рисунок 14" descr="https://libr.aues.kz/facultet/eef/kaf_epp/27/umm/epp_3.files/image0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libr.aues.kz/facultet/eef/kaf_epp/27/umm/epp_3.files/image069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3EE04FE" wp14:editId="72025441">
            <wp:extent cx="419100" cy="425450"/>
            <wp:effectExtent l="0" t="0" r="0" b="0"/>
            <wp:docPr id="15" name="Рисунок 15" descr="https://libr.aues.kz/facultet/eef/kaf_epp/27/umm/epp_3.files/image0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libr.aues.kz/facultet/eef/kaf_epp/27/umm/epp_3.files/image070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сумма расчетных активных нагрузок отдельных групп приемников;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D423D12" wp14:editId="2CA448F0">
            <wp:extent cx="406400" cy="425450"/>
            <wp:effectExtent l="0" t="0" r="0" b="0"/>
            <wp:docPr id="16" name="Рисунок 16" descr="https://libr.aues.kz/facultet/eef/kaf_epp/27/umm/epp_3.files/image0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libr.aues.kz/facultet/eef/kaf_epp/27/umm/epp_3.files/image07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то же, реактивных;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р.м</w:t>
      </w:r>
      <w:proofErr w:type="spellEnd"/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коэффициент разновременности максимумов нагрузок,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прини-маемый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0,85¸1,0 в зависимости от места нахождения данного узла в СЭС.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Определение расчетной нагрузки по методу «Упорядоченных диаграмм нагрузок».</w:t>
      </w:r>
    </w:p>
    <w:p w:rsidR="00EA4CCF" w:rsidRPr="00EA4CCF" w:rsidRDefault="00EA4CCF" w:rsidP="00EA4C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</w:t>
      </w: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12DA93D" wp14:editId="5B8955BF">
            <wp:extent cx="965200" cy="260350"/>
            <wp:effectExtent l="0" t="0" r="6350" b="6350"/>
            <wp:docPr id="17" name="Рисунок 17" descr="https://libr.aues.kz/facultet/eef/kaf_epp/27/umm/epp_3.files/image0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libr.aues.kz/facultet/eef/kaf_epp/27/umm/epp_3.files/image072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26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           </w:t>
      </w: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FC270DD" wp14:editId="637AC106">
            <wp:extent cx="1073150" cy="228600"/>
            <wp:effectExtent l="0" t="0" r="0" b="0"/>
            <wp:docPr id="18" name="Рисунок 18" descr="https://libr.aues.kz/facultet/eef/kaf_epp/27/umm/epp_3.files/image0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libr.aues.kz/facultet/eef/kaf_epp/27/umm/epp_3.files/image073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      </w:t>
      </w: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17090BF" wp14:editId="63763265">
            <wp:extent cx="3352800" cy="660400"/>
            <wp:effectExtent l="0" t="0" r="0" b="6350"/>
            <wp:docPr id="19" name="Рисунок 19" descr="https://libr.aues.kz/facultet/eef/kaf_epp/27/umm/epp_3.files/image0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libr.aues.kz/facultet/eef/kaf_epp/27/umm/epp_3.files/image074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           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определяется по графикам или таблицам зависимости 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и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Имеются методы упрощенного нахождения 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Если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≥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200, то при любых значениях 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см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Если 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и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≥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0,9, то при любых значениях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см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Если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≥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4, то при 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 </w:t>
      </w: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66DCDA5" wp14:editId="6AA070E2">
            <wp:extent cx="533400" cy="425450"/>
            <wp:effectExtent l="0" t="0" r="0" b="0"/>
            <wp:docPr id="20" name="Рисунок 20" descr="https://libr.aues.kz/facultet/eef/kaf_epp/27/umm/epp_3.files/image0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libr.aues.kz/facultet/eef/kaf_epp/27/umm/epp_3.files/image07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≤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фактическое число ЭП)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Если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≥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4, то </w:t>
      </w:r>
      <w:proofErr w:type="gram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 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</w:t>
      </w:r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&gt; 3 и 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и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≥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0,2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D77201D" wp14:editId="70396D69">
            <wp:extent cx="889000" cy="609600"/>
            <wp:effectExtent l="0" t="0" r="6350" b="0"/>
            <wp:docPr id="21" name="Рисунок 21" descr="https://libr.aues.kz/facultet/eef/kaf_epp/27/umm/epp_3.files/image0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libr.aues.kz/facultet/eef/kaf_epp/27/umm/epp_3.files/image076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если окажется, что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proofErr w:type="gram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</w:t>
      </w:r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принимаем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Если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≥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4, то </w:t>
      </w:r>
      <w:proofErr w:type="gram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 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</w:t>
      </w:r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&gt; 3 и 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и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&lt; 0,2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определяется по вспомогательным кривым (см. рисунок </w:t>
      </w:r>
      <w:r w:rsidR="00C03B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2"/>
        <w:gridCol w:w="5163"/>
      </w:tblGrid>
      <w:tr w:rsidR="00EA4CCF" w:rsidRPr="00EA4CCF" w:rsidTr="00EA4CCF">
        <w:tc>
          <w:tcPr>
            <w:tcW w:w="421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4CCF" w:rsidRPr="00EA4CCF" w:rsidRDefault="00EA4CCF" w:rsidP="00EA4C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CC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E17C4F5" wp14:editId="2FD272C8">
                  <wp:extent cx="2286000" cy="1574800"/>
                  <wp:effectExtent l="0" t="0" r="0" b="6350"/>
                  <wp:docPr id="22" name="Рисунок 57" descr="https://libr.aues.kz/facultet/eef/kaf_epp/27/umm/epp_3.files/image0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7" descr="https://libr.aues.kz/facultet/eef/kaf_epp/27/umm/epp_3.files/image0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57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A4CCF" w:rsidRPr="00EA4CCF" w:rsidRDefault="00EA4CCF" w:rsidP="00C03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C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Рисунок </w:t>
            </w:r>
            <w:r w:rsidR="00C03B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4CCF" w:rsidRPr="00EA4CCF" w:rsidRDefault="00EA4CCF" w:rsidP="00EA4CCF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C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Вводим следующие обозначения:</w:t>
            </w:r>
          </w:p>
          <w:p w:rsidR="00EA4CCF" w:rsidRPr="00EA4CCF" w:rsidRDefault="00EA4CCF" w:rsidP="00EA4CCF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CC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n</w:t>
            </w:r>
            <w:r w:rsidRPr="00EA4C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– фактическое число ЭП в группе;</w:t>
            </w:r>
          </w:p>
          <w:p w:rsidR="00EA4CCF" w:rsidRPr="00EA4CCF" w:rsidRDefault="00EA4CCF" w:rsidP="00EA4CCF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CC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n</w:t>
            </w:r>
            <w:r w:rsidRPr="00EA4CC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EA4C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– число наибольших ЭП в группе, подключенных к узлу, мощность каждого из которых не менее половины мощности наибольшего </w:t>
            </w:r>
            <w:proofErr w:type="spellStart"/>
            <w:r w:rsidRPr="00EA4C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электроприемника</w:t>
            </w:r>
            <w:proofErr w:type="spellEnd"/>
            <w:r w:rsidRPr="00EA4C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EA4CCF" w:rsidRPr="00EA4CCF" w:rsidRDefault="00EA4CCF" w:rsidP="00EA4C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C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0EBF5B2" wp14:editId="71F7B586">
            <wp:extent cx="546100" cy="419100"/>
            <wp:effectExtent l="0" t="0" r="6350" b="0"/>
            <wp:docPr id="23" name="Рисунок 23" descr="https://libr.aues.kz/facultet/eef/kaf_epp/27/umm/epp_3.files/image0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libr.aues.kz/facultet/eef/kaf_epp/27/umm/epp_3.files/image078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относительное число наибольших ЭП;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н1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суммарная мощность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ЭП;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н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суммарная номинальная мощность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ЭП узла;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73D8FE6" wp14:editId="1E939F71">
            <wp:extent cx="622300" cy="514350"/>
            <wp:effectExtent l="0" t="0" r="6350" b="0"/>
            <wp:docPr id="24" name="Рисунок 24" descr="https://libr.aues.kz/facultet/eef/kaf_epp/27/umm/epp_3.files/image0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libr.aues.kz/facultet/eef/kaf_epp/27/umm/epp_3.files/image07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относительная мощность наибольших ЭП.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зная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*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*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определяем по кривым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э*</w:t>
      </w:r>
    </w:p>
    <w:p w:rsidR="00EA4CCF" w:rsidRPr="00EA4CCF" w:rsidRDefault="00EA4CCF" w:rsidP="00EA4CCF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FC6231F" wp14:editId="094F1C49">
            <wp:extent cx="1714500" cy="387350"/>
            <wp:effectExtent l="0" t="0" r="0" b="0"/>
            <wp:docPr id="25" name="Рисунок 25" descr="https://libr.aues.kz/facultet/eef/kaf_epp/27/umm/epp_3.files/image0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libr.aues.kz/facultet/eef/kaf_epp/27/umm/epp_3.files/image080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38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Если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 </w:t>
      </w:r>
      <w:r w:rsidR="00C03B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≤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3, то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proofErr w:type="spellStart"/>
      <w:r w:rsidR="00C03B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Σ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proofErr w:type="spellEnd"/>
    </w:p>
    <w:p w:rsidR="00EA4CCF" w:rsidRPr="00EA4CCF" w:rsidRDefault="00EA4CCF" w:rsidP="00EA4CCF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ПКР: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Q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=0,87Р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для ЭП длительного режима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Q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=0,75Р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Если </w:t>
      </w:r>
      <w:proofErr w:type="gram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&gt;</w:t>
      </w:r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3, но 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&lt; 4, то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=S(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×К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з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Для ЭП длительного режима при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и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³ 0,6,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и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³ 0,9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=1;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см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Определение расчетной нагрузки по удельному расходу электроэнергии на единицу продукции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F3E61C8" wp14:editId="34CD0AC3">
            <wp:extent cx="984250" cy="304800"/>
            <wp:effectExtent l="0" t="0" r="6350" b="0"/>
            <wp:docPr id="26" name="Рисунок 26" descr="https://libr.aues.kz/facultet/eef/kaf_epp/27/umm/epp_3.files/image0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libr.aues.kz/facultet/eef/kaf_epp/27/umm/epp_3.files/image081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г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годовой выпуск продукции,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м, т, 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A4CCF" w:rsidRPr="00EA4CCF" w:rsidRDefault="00EA4CCF" w:rsidP="00EA4CCF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уд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удельный расход электроэнергии, кВт ч/</w:t>
      </w:r>
      <w:proofErr w:type="spellStart"/>
      <w:proofErr w:type="gram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ед.прод</w:t>
      </w:r>
      <w:proofErr w:type="spellEnd"/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.;</w:t>
      </w:r>
    </w:p>
    <w:p w:rsidR="00EA4CCF" w:rsidRPr="00EA4CCF" w:rsidRDefault="00EA4CCF" w:rsidP="00EA4CCF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73A29DF" wp14:editId="00D90DE8">
            <wp:extent cx="679450" cy="438150"/>
            <wp:effectExtent l="0" t="0" r="6350" b="0"/>
            <wp:docPr id="27" name="Рисунок 27" descr="https://libr.aues.kz/facultet/eef/kaf_epp/27/umm/epp_3.files/image0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libr.aues.kz/facultet/eef/kaf_epp/27/umm/epp_3.files/image082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кВт, где </w:t>
      </w:r>
      <w:proofErr w:type="spell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сг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среднегодовая мощность нагрузки; </w:t>
      </w:r>
      <w:proofErr w:type="spellStart"/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г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годовой фонд рабочего времени, ч.;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D651F5D" wp14:editId="08712D0E">
            <wp:extent cx="679450" cy="406400"/>
            <wp:effectExtent l="0" t="0" r="6350" b="0"/>
            <wp:docPr id="28" name="Рисунок 28" descr="https://libr.aues.kz/facultet/eef/kaf_epp/27/umm/epp_3.files/image0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libr.aues.kz/facultet/eef/kaf_epp/27/umm/epp_3.files/image083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кВт; a - коэффициент сменности по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энергоиспользованию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="00C03B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α≈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0,5</w:t>
      </w:r>
      <w:r w:rsidR="00C03B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bookmarkStart w:id="0" w:name="_GoBack"/>
      <w:bookmarkEnd w:id="0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0,9.</w:t>
      </w:r>
    </w:p>
    <w:p w:rsidR="00EA4CCF" w:rsidRPr="00EA4CCF" w:rsidRDefault="00EA4CCF" w:rsidP="00EA4CC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Определение расчетной нагрузки по удельной нагрузке на единицу производственной площади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B70F3F9" wp14:editId="511642D5">
            <wp:extent cx="933450" cy="260350"/>
            <wp:effectExtent l="0" t="0" r="0" b="6350"/>
            <wp:docPr id="29" name="Рисунок 29" descr="https://libr.aues.kz/facultet/eef/kaf_epp/27/umm/epp_3.files/image0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libr.aues.kz/facultet/eef/kaf_epp/27/umm/epp_3.files/image084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26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площадь размещения приемников в цехе, 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A4CCF" w:rsidRPr="00EA4CCF" w:rsidRDefault="00EA4CCF" w:rsidP="00EA4C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о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удельная расчетная мощность на 1 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производственной площади, кВт/м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         Метод применим для сетей цехов, в которых приемники имеют </w:t>
      </w:r>
      <w:proofErr w:type="gram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малую мощность</w:t>
      </w:r>
      <w:proofErr w:type="gram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они равномерно распределены на производственной площади.</w:t>
      </w:r>
    </w:p>
    <w:p w:rsidR="00EA4CCF" w:rsidRPr="00EA4CCF" w:rsidRDefault="00EA4CCF" w:rsidP="00EA4CC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 Удельная расчетная мощность для силовых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электроприемников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определяется по справочным материалам и лежит в пределах 0,15¸1,5 А/м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 0,1¸1,0 кВт/м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Для осветительной нагрузки r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осв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=0,01¸0,02 кВт/м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освещении лампами накаливания; 0,009¸0,018 кВт/м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освещении люминесцентными лампами: 0,005¸0,01 кВт/м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освещении газоразрядными лампами без компенсации реактивной мощности и 0,009¸0,018 кВт/м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освещении газоразрядными лампами с компенсацией реактивной мощности.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74C7258" wp14:editId="20B183F9">
            <wp:extent cx="1276350" cy="260350"/>
            <wp:effectExtent l="0" t="0" r="0" b="6350"/>
            <wp:docPr id="30" name="Рисунок 30" descr="https://libr.aues.kz/facultet/eef/kaf_epp/27/umm/epp_3.files/image0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libr.aues.kz/facultet/eef/kaf_epp/27/umm/epp_3.files/image086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26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Наиболее распространенными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электроприемниками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напряжением выше 1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являются дуговые электрические печи (ДСП) и синхронные двигатели (СД).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расчетной мощности ДСП. Расчетную мощность ДСП находят по графику технологического процесса 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= 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EA4CC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При отсутствии графика расчет ведется упрощенно по коэффициенту загрузки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з</w:t>
      </w:r>
      <w:proofErr w:type="spellEnd"/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ACB8078" wp14:editId="3BFE7B25">
            <wp:extent cx="2051050" cy="266700"/>
            <wp:effectExtent l="0" t="0" r="6350" b="0"/>
            <wp:docPr id="31" name="Рисунок 31" descr="https://libr.aues.kz/facultet/eef/kaf_epp/27/umm/epp_3.files/image0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libr.aues.kz/facultet/eef/kaf_epp/27/umm/epp_3.files/image088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proofErr w:type="spellStart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з</w:t>
      </w:r>
      <w:proofErr w:type="spellEnd"/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коэффициент загрузки ДСП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C0C6804" wp14:editId="4CAD3F1D">
            <wp:extent cx="1581150" cy="266700"/>
            <wp:effectExtent l="0" t="0" r="0" b="0"/>
            <wp:docPr id="32" name="Рисунок 32" descr="https://libr.aues.kz/facultet/eef/kaf_epp/27/umm/epp_3.files/image0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libr.aues.kz/facultet/eef/kaf_epp/27/umm/epp_3.files/image090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2FF34ED" wp14:editId="1AE6575B">
            <wp:extent cx="2057400" cy="419100"/>
            <wp:effectExtent l="0" t="0" r="0" b="0"/>
            <wp:docPr id="33" name="Рисунок 33" descr="https://libr.aues.kz/facultet/eef/kaf_epp/27/umm/epp_3.files/image0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libr.aues.kz/facultet/eef/kaf_epp/27/umm/epp_3.files/image091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расчетной мощности СД.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39E28E9" wp14:editId="55A5FB8B">
            <wp:extent cx="1377950" cy="266700"/>
            <wp:effectExtent l="0" t="0" r="0" b="0"/>
            <wp:docPr id="34" name="Рисунок 34" descr="https://libr.aues.kz/facultet/eef/kaf_epp/27/umm/epp_3.files/image0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libr.aues.kz/facultet/eef/kaf_epp/27/umm/epp_3.files/image092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594510E" wp14:editId="4B165303">
            <wp:extent cx="1397000" cy="266700"/>
            <wp:effectExtent l="0" t="0" r="0" b="0"/>
            <wp:docPr id="35" name="Рисунок 35" descr="https://libr.aues.kz/facultet/eef/kaf_epp/27/umm/epp_3.files/image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libr.aues.kz/facultet/eef/kaf_epp/27/umm/epp_3.files/image094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CC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5F65AD4" wp14:editId="5A68AAE1">
            <wp:extent cx="1733550" cy="419100"/>
            <wp:effectExtent l="0" t="0" r="0" b="0"/>
            <wp:docPr id="36" name="Рисунок 36" descr="https://libr.aues.kz/facultet/eef/kaf_epp/27/umm/epp_3.files/image0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libr.aues.kz/facultet/eef/kaf_epp/27/umm/epp_3.files/image096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4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4CCF" w:rsidRPr="00EA4CCF" w:rsidRDefault="00EA4CCF" w:rsidP="00EA4CC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EA4CCF" w:rsidRPr="00EA4CCF" w:rsidRDefault="00EA4CCF" w:rsidP="00EA4CC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F" w:rsidRPr="00EA4CCF" w:rsidRDefault="00EA4CCF" w:rsidP="00EA4CC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F2CF7" w:rsidRPr="000F2CF7" w:rsidRDefault="000F2CF7" w:rsidP="000F2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F2CF7" w:rsidRPr="000F2C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CF7"/>
    <w:rsid w:val="000F2CF7"/>
    <w:rsid w:val="00270C58"/>
    <w:rsid w:val="00C03BA9"/>
    <w:rsid w:val="00EA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DF3A3"/>
  <w15:chartTrackingRefBased/>
  <w15:docId w15:val="{6FE8E11F-25D5-4A29-8329-776A07E4C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51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785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2021-12-01T13:11:00Z</dcterms:created>
  <dcterms:modified xsi:type="dcterms:W3CDTF">2021-12-01T13:42:00Z</dcterms:modified>
</cp:coreProperties>
</file>